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5"/>
          <w:rFonts w:hint="eastAsia" w:ascii="仿宋" w:hAnsi="仿宋" w:eastAsia="仿宋" w:cs="仿宋"/>
          <w:b w:val="0"/>
          <w:bCs w:val="0"/>
          <w:spacing w:val="-4"/>
          <w:sz w:val="36"/>
          <w:szCs w:val="36"/>
        </w:rPr>
        <w:t>克州美术馆</w:t>
      </w:r>
    </w:p>
    <w:p>
      <w:pPr>
        <w:spacing w:line="540" w:lineRule="exact"/>
        <w:ind w:left="273" w:firstLine="567"/>
        <w:jc w:val="both"/>
        <w:rPr>
          <w:rStyle w:val="5"/>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5"/>
          <w:rFonts w:hint="eastAsia" w:ascii="仿宋" w:hAnsi="仿宋" w:eastAsia="仿宋" w:cs="仿宋"/>
          <w:b w:val="0"/>
          <w:bCs w:val="0"/>
          <w:spacing w:val="-4"/>
          <w:sz w:val="36"/>
          <w:szCs w:val="36"/>
        </w:rPr>
        <w:t>2022年03月04日</w:t>
      </w:r>
    </w:p>
    <w:p>
      <w:pPr>
        <w:rPr>
          <w:rStyle w:val="5"/>
          <w:rFonts w:hint="eastAsia" w:ascii="仿宋" w:hAnsi="仿宋" w:eastAsia="仿宋" w:cs="仿宋"/>
          <w:b w:val="0"/>
          <w:bCs w:val="0"/>
          <w:spacing w:val="-4"/>
          <w:sz w:val="44"/>
          <w:szCs w:val="44"/>
        </w:rPr>
      </w:pPr>
      <w:r>
        <w:rPr>
          <w:rStyle w:val="5"/>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美术馆作为城市文化地标的今天，公共教育成为美术馆的重要职能之一，而美术馆的公共教育职能是否得到真正的实现，以正确有效的途径和方式得以持续进行下去，则成为建构公众文化主体性和审美普及的关键。美术馆作为社会公益性单位的性质，决定了它的服务对象和服务内容必然是面对全体社会公众的，它的资源为全民共享，公共美术馆需接纳全社会各类群体参与其组织的展览和各项教育活动，为他们提供的文化建设；公共文化服务；美术馆；公共文化设施；服务体系建设。</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克州美术馆无下属预算单位，下设0个科室。克州美术馆编制数 5，实有人数9人，其中：在职 8人，增加0人；退休1人，增加 0人；离休0人，增加0人。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贯彻落实党中央、自治区党委关于“推进美术馆、图书馆、文化馆（站）免费开放，丰富人民群众的精神文化生活”的要求，充分发挥“三馆一站”在提高公民鉴赏能力、提高各族群众思想道德和科学文化素质的作用，保障各族群众基本权益，促进社会和谐稳定。</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美术馆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（2）收支管理：领导层是本单位收支业务管理的决策部门，负责审批单位收支业务等事项。涉及“三重一大”事项，根据《克州美术馆集体决策制度》和《克州美术馆项目管理办法》办理。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美术馆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美术馆合同管理办法》相关规定，克州美术馆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126.57万元，项目支出安排资金7.39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本单位2021年度项目支出7.39万元，涉及项目数量1个，其中：重点项目支出7.39万元，涉及重点项目数量1个，重点项目支出与部门项目总支出的比率为100%。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2021年度本单位年初批复部门预算资金总额为192.54万元，年中调减预算总额为4.54万元，调整后全年预算资金总额为188.00万元。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2021年度本单位部门整体支出资金总额为133.96万元，预算执行率为71.26%，预算调整率为2.36%。</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年初政府采购预算数为81.26万元，实际政府采购数为17.83万元，政府采购执行率为21.94%。</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为加强我单位预算管理、规范财务行为我单位制定了《克州美术馆内部控制规范》《克州美术馆项目管理规范》等资金管理制度，已建立制度均健全且有效运行。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2021年度我单位基本支出预算总额为180.60万元，其中人员经费109.68万元，公用经费70.92万元。实际执行总额为126.57万元，预算执行率70.08%。</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我单位无三公经费支出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2021年度本单位项目支出预算总额为50万元，实际执行资金总额为7.39万元，预算执行率为14.79%。</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2021年度预算安排专项资金50万元，实际支出资金7.39万元，预算执行率为14.79%，涉及项目个数1个。专项经费按照政策要求实行专款专用，不存在截留、挤占、挪用、虚列支出。各项目详细执行情况如下：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2021年美术馆、公共图书馆、文化馆（站）免费开放项目:全年预算数为50万元，预算执行数为7.39万元，预算执行率为14.79%。</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14.79%。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2021年美术馆、公共图书馆、文化馆（站）免费开放项目：《关于提前下达2021年美术馆、公共图书馆、文化馆(站)免费开放补助资金预算的通知》（克财教〔2020〕40号）。</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1项专项，总投入共计50万元，资金全部到位，实际使用资金7.39万元，专项资金执行率为14.79%。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①制订《克州美术馆经费使用规范》,为合理合规使用经费提供了有力的制度保障。同时,建立区委组织部项目经费内部管控制度，并严格按要求落实。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成本节约：我单位1个项目成本均未超预算，预算执行率达14.79%。</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我单位共有1个项目，项目实施进度已达到14.79%.</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美术馆、公共图书馆、文化馆（站）免费开放项目：主要用于丰富人民群众的精神文化生活，有利于提高公民鉴赏能力、提高各族群众思想道德和科学文化素质的作用，保障各族群众基本权益，促进社会和谐稳定。</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本单位2021年初资产合计数为88.30万元，年末资产合计数为68.78万元。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截止本年度固定资产账面净值10.61万元，年末实际在用固定资产10.61万元，固定资产利用率为100%。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部门单位整体支出共设置一级指标3个，二级指标7个，三级指标11个，其中已完成三级指标10个，指标完成率为90.91%。</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“保障人员数量（人）”指标：预期指标值为&gt;=8人，实际完成指标值为8人，指标完成率为100%。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“开展知识展览次数（次）”指标：预期指标值为&gt;=5次，实际完成指标值为5次，指标完成率为100%。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“开展文化活动次数（次）”指标：预期指标值为&gt;=10次，实际完成指标值为10次，指标完成率为100%。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“资金使用合格率（%）”指标：预期指标值为=100%，实际完成指标值为100%，指标完成率为100%。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“资金拨付及时率（%）”指标：预期指标值为=100%，实际完成指标值为100%，指标完成率为100%。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“人员经费（万元）”指标：预期指标值为=90.90万元，实际完成指标值为=90.90万元，指标完成率为100%。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“公用经费（万元）”指标：预期指标值为=1.64万元，实际完成指标值为1.64万元，指标完成率为100%。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“项目经费支出（万元）”指标：预期指标值为=100万元，实际完成指标值为7.39万元，指标完成率为7.39%。偏差原因：由于疫情原因，开展免费活动次数减少,安排美术展览活动减少次数减少</w:t>
      </w:r>
      <w:r>
        <w:rPr>
          <w:rFonts w:hint="eastAsia" w:ascii="仿宋_GB2312" w:hAnsi="宋体" w:eastAsia="仿宋_GB2312"/>
          <w:b w:val="0"/>
          <w:bCs/>
          <w:sz w:val="32"/>
          <w:szCs w:val="32"/>
        </w:rPr>
        <w:cr/>
      </w:r>
      <w:r>
        <w:rPr>
          <w:rFonts w:hint="eastAsia" w:ascii="仿宋_GB2312" w:hAnsi="宋体" w:eastAsia="仿宋_GB2312"/>
          <w:b w:val="0"/>
          <w:bCs/>
          <w:sz w:val="32"/>
          <w:szCs w:val="32"/>
        </w:rPr>
        <w:t>改进措施：做好疫情防控的基础上，积极开展免费活动。今后加强外出业务培训。</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无生态效益指标。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“提升人民群众文化生活水平”指标：预期指标值为有效提升，实际完成指标值为有效提升，指标完成率为100%。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无生态效益指标。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“发展文化事业”指标：预期指标值为长期，实际完成指标值为长期，指标完成率为100%。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“受益群众满意度（%）”指标：预期指标值为&gt;=95%，实际完成指标值为95%，指标完成率为100%。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p>
      <w:bookmarkStart w:id="1" w:name="_GoBack"/>
      <w:bookmarkEnd w:id="1"/>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1303A90"/>
    <w:rsid w:val="020B07BA"/>
    <w:rsid w:val="02656D15"/>
    <w:rsid w:val="06696209"/>
    <w:rsid w:val="0D1922F1"/>
    <w:rsid w:val="108622B3"/>
    <w:rsid w:val="1438599A"/>
    <w:rsid w:val="200F4073"/>
    <w:rsid w:val="24B86128"/>
    <w:rsid w:val="51C70EA9"/>
    <w:rsid w:val="54F842B6"/>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Strong"/>
    <w:basedOn w:val="4"/>
    <w:qFormat/>
    <w:uiPriority w:val="0"/>
    <w:rPr>
      <w:b/>
      <w:bCs/>
    </w:rPr>
  </w:style>
  <w:style w:type="character" w:customStyle="1" w:styleId="7">
    <w:name w:val="页眉 字符"/>
    <w:basedOn w:val="4"/>
    <w:link w:val="3"/>
    <w:qFormat/>
    <w:uiPriority w:val="99"/>
    <w:rPr>
      <w:sz w:val="18"/>
      <w:szCs w:val="18"/>
    </w:rPr>
  </w:style>
  <w:style w:type="character" w:customStyle="1" w:styleId="8">
    <w:name w:val="页脚 字符"/>
    <w:basedOn w:val="4"/>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29</TotalTime>
  <ScaleCrop>false</ScaleCrop>
  <LinksUpToDate>false</LinksUpToDate>
  <CharactersWithSpaces>308</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adminiatrator</cp:lastModifiedBy>
  <dcterms:modified xsi:type="dcterms:W3CDTF">2022-05-26T17:45:14Z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y fmtid="{D5CDD505-2E9C-101B-9397-08002B2CF9AE}" pid="3" name="ICV">
    <vt:lpwstr>4E2A216151A24EE5A190066F518526B7</vt:lpwstr>
  </property>
</Properties>
</file>